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91AF" w14:textId="00BAC344" w:rsidR="00BC34AC" w:rsidRPr="00BC34AC" w:rsidRDefault="00BC34AC" w:rsidP="00BC34AC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 w:rsidRPr="00BC34AC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Monitoraggio svolto dall’organo di controllo</w:t>
      </w:r>
    </w:p>
    <w:p w14:paraId="42980939" w14:textId="272553E1" w:rsidR="00121618" w:rsidRDefault="00BC34AC" w:rsidP="00BC34AC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 w:rsidRPr="00BC34AC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 xml:space="preserve">Decreto Legge 4 luglio 2019  </w:t>
      </w:r>
    </w:p>
    <w:p w14:paraId="6419A1B1" w14:textId="5D3EF77B" w:rsidR="00BC34AC" w:rsidRPr="00BC34AC" w:rsidRDefault="00121618" w:rsidP="00BC34AC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(</w:t>
      </w:r>
      <w:r w:rsidR="00BC34AC" w:rsidRPr="00BC34AC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Adozione delle linee guida per la redazione del bilancio sociale degli enti del Terzo settore)</w:t>
      </w:r>
    </w:p>
    <w:p w14:paraId="43A8E64C" w14:textId="513B0AAF" w:rsidR="00BC34AC" w:rsidRPr="00BC34AC" w:rsidRDefault="00BC34AC" w:rsidP="00BC34AC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 w:rsidRPr="00BC34AC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Enti diversi dalle imprese sociali</w:t>
      </w:r>
    </w:p>
    <w:p w14:paraId="7250A7BD" w14:textId="7949EA2D" w:rsidR="00BC34AC" w:rsidRPr="00BC34AC" w:rsidRDefault="00BC34AC" w:rsidP="00533233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486E6DD9" w14:textId="75FF7432" w:rsidR="00533233" w:rsidRPr="00BC34AC" w:rsidRDefault="00533233" w:rsidP="00533233">
      <w:pPr>
        <w:widowControl w:val="0"/>
        <w:tabs>
          <w:tab w:val="left" w:pos="849"/>
          <w:tab w:val="left" w:pos="1698"/>
          <w:tab w:val="left" w:pos="2547"/>
          <w:tab w:val="left" w:pos="3396"/>
          <w:tab w:val="left" w:pos="4245"/>
          <w:tab w:val="left" w:pos="5094"/>
          <w:tab w:val="left" w:pos="5943"/>
          <w:tab w:val="left" w:pos="6792"/>
          <w:tab w:val="left" w:pos="7641"/>
          <w:tab w:val="left" w:pos="8490"/>
          <w:tab w:val="left" w:pos="9339"/>
          <w:tab w:val="left" w:pos="10188"/>
          <w:tab w:val="left" w:pos="11037"/>
          <w:tab w:val="left" w:pos="11886"/>
        </w:tabs>
        <w:spacing w:after="0" w:line="360" w:lineRule="auto"/>
        <w:rPr>
          <w:rFonts w:ascii="Arial" w:eastAsia="Arial" w:hAnsi="Arial" w:cs="Arial"/>
          <w:sz w:val="20"/>
          <w:szCs w:val="20"/>
          <w:lang w:val="it-IT" w:eastAsia="it-IT" w:bidi="it-IT"/>
        </w:rPr>
      </w:pPr>
      <w:r w:rsidRPr="00BC34AC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Agli associati della Associazione Centro Orientamento Educativo </w:t>
      </w:r>
    </w:p>
    <w:p w14:paraId="74950C9D" w14:textId="77777777" w:rsidR="00BC34AC" w:rsidRDefault="00BC34AC" w:rsidP="00533233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566" w:hanging="566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3DDFA94B" w14:textId="662E4F9D" w:rsidR="00533233" w:rsidRDefault="00121618" w:rsidP="00533233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566" w:hanging="566"/>
        <w:jc w:val="both"/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Ai sensi D.L. 4 luglio 209, riporto di seguito quanto effettuato con riferimento specifico all’attività di monitoraggio svolta nel</w:t>
      </w:r>
      <w:r w:rsidR="00533233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corso dell’esercizio chiuso al </w:t>
      </w:r>
      <w:r w:rsidR="00533233">
        <w:rPr>
          <w:rFonts w:ascii="Arial" w:eastAsia="Arial" w:hAnsi="Arial" w:cs="Arial"/>
          <w:noProof/>
          <w:sz w:val="20"/>
          <w:szCs w:val="20"/>
          <w:lang w:val="en-US" w:eastAsia="en-US" w:bidi="en-US"/>
        </w:rPr>
        <w:t>31/12/2021</w:t>
      </w:r>
      <w:r w:rsidR="00E70A00">
        <w:rPr>
          <w:rFonts w:ascii="Arial" w:eastAsia="Arial" w:hAnsi="Arial" w:cs="Arial"/>
          <w:sz w:val="20"/>
          <w:szCs w:val="20"/>
          <w:lang w:val="en-US" w:eastAsia="en-US" w:bidi="en-US"/>
        </w:rPr>
        <w:t xml:space="preserve">:  </w:t>
      </w:r>
    </w:p>
    <w:p w14:paraId="776FE24B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ho monitorato l’osservanza delle finalità civiche, solidaristiche e di utilità sociale, con particolare riguardo alle disposizioni di cui all’art.5 del CTS, inerente all’ obbligo di svolgimento in via esclusiva o principale di una o più attività di interesse generale svolte, all’art.6, inerente al rispetto dei limiti di svolgimento di eventuali attività diverse, all’art.7, inerente alla raccolta fondi, e all’art.8, inerente alla destinazione del patrimonio e sull’assenza (diretta e indiretta) dello scopo di lucro;</w:t>
      </w:r>
    </w:p>
    <w:p w14:paraId="1A49482A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ho verificato che l’Ente persegue in via prevalente l’attività di interesse generale costituita dal perseguimento di finalità civiche e solidaristiche e di utilità sociale;</w:t>
      </w:r>
    </w:p>
    <w:p w14:paraId="086242E9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ho constatato che l’Ente effettua attività diverse previste dall’art.6 del CTS rispettando i limiti previsti dal DM 19/05/2021, n.107, come dimostrato dalla Relazione di missione;</w:t>
      </w:r>
    </w:p>
    <w:p w14:paraId="3CAD9B58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ho accertato che l’Ente ha posto in essere attività di raccolta fondi secondo le modalità e i limiti previsti dall’art.7 del CTS e delle relative linee guida; ha inoltre correttamente rendicontato i proventi e i </w:t>
      </w:r>
      <w:proofErr w:type="gramStart"/>
      <w:r>
        <w:rPr>
          <w:rFonts w:ascii="Arial" w:eastAsia="Arial" w:hAnsi="Arial" w:cs="Arial"/>
          <w:sz w:val="20"/>
          <w:szCs w:val="20"/>
          <w:lang w:val="it-IT" w:eastAsia="it-IT" w:bidi="it-IT"/>
        </w:rPr>
        <w:t>costi  di</w:t>
      </w:r>
      <w:proofErr w:type="gramEnd"/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tali attività nella Relazione di missione ;</w:t>
      </w:r>
    </w:p>
    <w:p w14:paraId="6B2D495F" w14:textId="42F4DDFE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ho verificato che l’Ente ha</w:t>
      </w:r>
      <w:r w:rsidR="00E70A00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perseguito l’assenza dello scopo di lucro, attraverso la destinazione del patrimonio per lo svolgimento dell’attività statutaria anche attraverso il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rispettato il divieto di distribuzione diretta o indiretta di avanzi e del patrimonio</w:t>
      </w:r>
      <w:r w:rsidR="00E70A00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a fondatori, associati , lavoratori e collaboratori</w:t>
      </w:r>
      <w:r w:rsidR="00FD7173">
        <w:rPr>
          <w:rFonts w:ascii="Arial" w:eastAsia="Arial" w:hAnsi="Arial" w:cs="Arial"/>
          <w:sz w:val="20"/>
          <w:szCs w:val="20"/>
          <w:lang w:val="it-IT" w:eastAsia="it-IT" w:bidi="it-IT"/>
        </w:rPr>
        <w:t>, amministratori ed altri componenti degli organi sociali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>; a questo proposito, ai sensi dell’art.14 del CTS, ha pubblicato gli eventuali emolumenti, compensi o corrispettivi, retribuzioni, a qualsiasi titolo attribuito ai componenti degli organi sociali, ai dipendenti apicali e agli associati;</w:t>
      </w:r>
    </w:p>
    <w:p w14:paraId="07C7E4EE" w14:textId="77777777" w:rsidR="00533233" w:rsidRPr="00FD717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 w:rsidRPr="00FD7173">
        <w:rPr>
          <w:rFonts w:ascii="Arial" w:eastAsia="Arial" w:hAnsi="Arial" w:cs="Arial"/>
          <w:sz w:val="20"/>
          <w:szCs w:val="20"/>
          <w:lang w:val="it-IT" w:eastAsia="it-IT" w:bidi="it-IT"/>
        </w:rPr>
        <w:t>ho provveduto all’adeguata verifica antiriciclaggio;</w:t>
      </w:r>
    </w:p>
    <w:p w14:paraId="1AA625E0" w14:textId="3CEA07E0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ho partecipato alle adunanze dell’Organo </w:t>
      </w:r>
      <w:proofErr w:type="gramStart"/>
      <w:r>
        <w:rPr>
          <w:rFonts w:ascii="Arial" w:eastAsia="Arial" w:hAnsi="Arial" w:cs="Arial"/>
          <w:sz w:val="20"/>
          <w:szCs w:val="20"/>
          <w:lang w:val="it-IT" w:eastAsia="it-IT" w:bidi="it-IT"/>
        </w:rPr>
        <w:t>amministrativo,  svoltesi</w:t>
      </w:r>
      <w:proofErr w:type="gramEnd"/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nel rispetto delle norme statutarie, legislative e regolamentari che ne disciplinano il funzionamento, e per le quali possiamo ragionevolmente assicurare che le azioni deliberate sono conformi alla legge e alle disposizioni statutarie, e non sono manifestamente imprudenti, azzardate, in potenziale conflitto di interesse o tali da compromettere l’integrità del patrimonio sociale e la prospettiva di funzionamento ; </w:t>
      </w:r>
    </w:p>
    <w:p w14:paraId="7307CAAE" w14:textId="77777777" w:rsidR="00533233" w:rsidRPr="00D73281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i/>
          <w:iCs/>
          <w:sz w:val="20"/>
          <w:szCs w:val="20"/>
          <w:lang w:val="it-IT" w:eastAsia="it-IT" w:bidi="it-IT"/>
        </w:rPr>
      </w:pPr>
      <w:r w:rsidRPr="00D73281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ho ottenuto dall’Organo amministrativo, con adeguato anticipo, durante le riunioni </w:t>
      </w:r>
      <w:proofErr w:type="gramStart"/>
      <w:r w:rsidRPr="00D73281">
        <w:rPr>
          <w:rFonts w:ascii="Arial" w:eastAsia="Arial" w:hAnsi="Arial" w:cs="Arial"/>
          <w:sz w:val="20"/>
          <w:szCs w:val="20"/>
          <w:lang w:val="it-IT" w:eastAsia="it-IT" w:bidi="it-IT"/>
        </w:rPr>
        <w:t>svolte  informazioni</w:t>
      </w:r>
      <w:proofErr w:type="gramEnd"/>
      <w:r w:rsidRPr="00D73281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sul generale andamento della gestione e sulla sua prevedibile evoluzione, nonché sulle operazioni di maggiore rilievo.</w:t>
      </w:r>
    </w:p>
    <w:p w14:paraId="372FF9E1" w14:textId="77777777" w:rsidR="00FD7173" w:rsidRDefault="00FD7173" w:rsidP="00533233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0CF759EB" w14:textId="713E78AD" w:rsidR="00533233" w:rsidRDefault="00533233" w:rsidP="00533233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Ho acquisito conoscenza e ho vigilato sull’adeguatezza dell’assetto organizzativo amministrativo e contabile e al suo concreto funzionamento anche tramite la raccolta di informazioni dai responsabili delle funzioni e l’esame dei documenti aziendali.</w:t>
      </w:r>
    </w:p>
    <w:p w14:paraId="4AF3313A" w14:textId="77777777" w:rsidR="00533233" w:rsidRDefault="00533233" w:rsidP="00533233">
      <w:pPr>
        <w:widowControl w:val="0"/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lastRenderedPageBreak/>
        <w:t xml:space="preserve">Ho acquisito conoscenza e vigilato, per quanto di mia competenza, sull’adeguatezza e sul funzionamento del sistema amministrativo </w:t>
      </w:r>
      <w:proofErr w:type="gramStart"/>
      <w:r>
        <w:rPr>
          <w:rFonts w:ascii="Arial" w:eastAsia="Arial" w:hAnsi="Arial" w:cs="Arial"/>
          <w:sz w:val="20"/>
          <w:szCs w:val="20"/>
          <w:lang w:val="it-IT" w:eastAsia="it-IT" w:bidi="it-IT"/>
        </w:rPr>
        <w:t>contabile ,</w:t>
      </w:r>
      <w:proofErr w:type="gramEnd"/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nonché sull’affidabilità di quest’ultimo a rappresentare correttamente i fatti di gestione, mediante l’ottenimento di informazioni dai responsabili delle funzioni e l’esame dei documenti aziendali, e a tale riguardo , non ho osservazioni particolari da riferire.</w:t>
      </w:r>
    </w:p>
    <w:p w14:paraId="5AFF9E52" w14:textId="03C32BB3" w:rsidR="00533233" w:rsidRDefault="00B26BA6" w:rsidP="0053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Inoltre,</w:t>
      </w:r>
      <w:r w:rsidR="00FD7173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in</w:t>
      </w:r>
      <w:r w:rsidR="00533233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merito all’osservanza del </w:t>
      </w:r>
      <w:proofErr w:type="spellStart"/>
      <w:r w:rsidR="00533233">
        <w:rPr>
          <w:rFonts w:ascii="Arial" w:eastAsia="Arial" w:hAnsi="Arial" w:cs="Arial"/>
          <w:sz w:val="20"/>
          <w:szCs w:val="20"/>
          <w:lang w:val="it-IT" w:eastAsia="it-IT" w:bidi="it-IT"/>
        </w:rPr>
        <w:t>D.Lgs.</w:t>
      </w:r>
      <w:proofErr w:type="spellEnd"/>
      <w:r w:rsidR="00533233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n. 231/2001 e circa l’adozione del modello 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>organizzativo, l’Organo</w:t>
      </w:r>
      <w:r w:rsidR="00533233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di controllo evidenzia:</w:t>
      </w:r>
    </w:p>
    <w:p w14:paraId="1B699C4A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l’esistenza, in generale, di una struttura organizzativa coerente con le dimensioni e con la effettiva complessità dell’Ente.</w:t>
      </w:r>
    </w:p>
    <w:p w14:paraId="06EEED06" w14:textId="1FF6BE53" w:rsidR="00533233" w:rsidRDefault="00533233" w:rsidP="0053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Si evidenzia che non sono pervenute denunce ex art. 29 c.2 del CTS.</w:t>
      </w:r>
      <w:r w:rsidR="00B26BA6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>Nel corso dell’esercizio non sono stati rilasciati dall’Organo di controllo pareri previsti dalla legge.</w:t>
      </w:r>
      <w:r w:rsidR="00B26BA6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Nel corso dell’attività di vigilanza, come sopra descritta, non sono emersi ulteriori fatti </w:t>
      </w:r>
      <w:r w:rsidR="00B26BA6">
        <w:rPr>
          <w:rFonts w:ascii="Arial" w:eastAsia="Arial" w:hAnsi="Arial" w:cs="Arial"/>
          <w:sz w:val="20"/>
          <w:szCs w:val="20"/>
          <w:lang w:val="it-IT" w:eastAsia="it-IT" w:bidi="it-IT"/>
        </w:rPr>
        <w:t>significativi.</w:t>
      </w:r>
    </w:p>
    <w:p w14:paraId="1CC82F6E" w14:textId="31CB180C" w:rsidR="00533233" w:rsidRDefault="00533233" w:rsidP="00FD71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b/>
          <w:bCs/>
          <w:lang w:val="it-IT" w:eastAsia="it-IT" w:bidi="it-IT"/>
        </w:rPr>
      </w:pPr>
    </w:p>
    <w:p w14:paraId="5DCCF29E" w14:textId="73F47335" w:rsidR="00533233" w:rsidRDefault="00533233" w:rsidP="0053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Ho, inoltre, verificato la rispondenza del bilancio e della relazione di </w:t>
      </w:r>
      <w:r w:rsidR="00B26BA6">
        <w:rPr>
          <w:rFonts w:ascii="Arial" w:eastAsia="Arial" w:hAnsi="Arial" w:cs="Arial"/>
          <w:sz w:val="20"/>
          <w:szCs w:val="20"/>
          <w:lang w:val="it-IT" w:eastAsia="it-IT" w:bidi="it-IT"/>
        </w:rPr>
        <w:t>missione ai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fatti e alle informazioni di rilievo di cui l’Organo di controllo è a conoscenza a seguito della partecipazione alle riunioni degli organi sociali, dell’esercizio dei suoi doveri di vigilanza, dei suoi compiti di monitoraggio e dei suoi poteri di ispezione e controllo, e a tale riguardo non ho osservazioni particolari da </w:t>
      </w:r>
      <w:proofErr w:type="gramStart"/>
      <w:r>
        <w:rPr>
          <w:rFonts w:ascii="Arial" w:eastAsia="Arial" w:hAnsi="Arial" w:cs="Arial"/>
          <w:sz w:val="20"/>
          <w:szCs w:val="20"/>
          <w:lang w:val="it-IT" w:eastAsia="it-IT" w:bidi="it-IT"/>
        </w:rPr>
        <w:t>riferire .</w:t>
      </w:r>
      <w:proofErr w:type="gramEnd"/>
    </w:p>
    <w:p w14:paraId="1A848D30" w14:textId="77777777" w:rsidR="00533233" w:rsidRDefault="00533233" w:rsidP="0053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Ho richiesto informazioni in merito all’assolvimento di obblighi di legge o ad attività che comportano determinate conseguenze a livello gestionale ed organizzativo, quali le indicazioni inerenti a:</w:t>
      </w:r>
    </w:p>
    <w:p w14:paraId="6A293297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il numero dei volontari iscritti nel registro dei volontari di cui all’articolo 17, comma 1 del CTS, che svolgono la loro attività in modo non occasionale;</w:t>
      </w:r>
    </w:p>
    <w:p w14:paraId="4986C7FC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l’indicazione del carattere secondario delle attività diverse;</w:t>
      </w:r>
    </w:p>
    <w:p w14:paraId="52B2F56C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la differenza retributiva tra lavoratori dipendenti;</w:t>
      </w:r>
    </w:p>
    <w:p w14:paraId="367E1923" w14:textId="77777777" w:rsidR="00533233" w:rsidRDefault="00533233" w:rsidP="00533233">
      <w:pPr>
        <w:widowControl w:val="0"/>
        <w:numPr>
          <w:ilvl w:val="0"/>
          <w:numId w:val="1"/>
        </w:numPr>
        <w:tabs>
          <w:tab w:val="left" w:pos="56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la descrizione dell’attività di raccolta fondi rendicontata, con specifico riferimento alle raccolte fondi occasionali di cui all’art. 79, comma 4, lettera a) del CTS. </w:t>
      </w:r>
    </w:p>
    <w:p w14:paraId="24B0A0D1" w14:textId="77777777" w:rsidR="00533233" w:rsidRDefault="00533233" w:rsidP="0053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288A3A65" w14:textId="114372FC" w:rsidR="00FB1046" w:rsidRDefault="00FD7173">
      <w:pPr>
        <w:rPr>
          <w:rFonts w:ascii="Arial" w:hAnsi="Arial" w:cs="Arial"/>
          <w:sz w:val="20"/>
          <w:szCs w:val="20"/>
          <w:lang w:val="it-IT"/>
        </w:rPr>
      </w:pPr>
      <w:r w:rsidRPr="00B26BA6">
        <w:rPr>
          <w:rFonts w:ascii="Arial" w:hAnsi="Arial" w:cs="Arial"/>
          <w:sz w:val="20"/>
          <w:szCs w:val="20"/>
          <w:lang w:val="it-IT"/>
        </w:rPr>
        <w:t>Per una maggiore comprensione dell’</w:t>
      </w:r>
      <w:r w:rsidR="001F738A" w:rsidRPr="00B26BA6">
        <w:rPr>
          <w:rFonts w:ascii="Arial" w:hAnsi="Arial" w:cs="Arial"/>
          <w:sz w:val="20"/>
          <w:szCs w:val="20"/>
          <w:lang w:val="it-IT"/>
        </w:rPr>
        <w:t>attività</w:t>
      </w:r>
      <w:r w:rsidRPr="00B26BA6">
        <w:rPr>
          <w:rFonts w:ascii="Arial" w:hAnsi="Arial" w:cs="Arial"/>
          <w:sz w:val="20"/>
          <w:szCs w:val="20"/>
          <w:lang w:val="it-IT"/>
        </w:rPr>
        <w:t xml:space="preserve"> svolta si rimanda alla relazione da me svolta in occasione della approvazione del bilancio d’esercizio </w:t>
      </w:r>
      <w:r w:rsidR="001F738A" w:rsidRPr="00B26BA6">
        <w:rPr>
          <w:rFonts w:ascii="Arial" w:hAnsi="Arial" w:cs="Arial"/>
          <w:sz w:val="20"/>
          <w:szCs w:val="20"/>
          <w:lang w:val="it-IT"/>
        </w:rPr>
        <w:t>chiuso al 31 dicembre 2021.</w:t>
      </w:r>
    </w:p>
    <w:p w14:paraId="639EE4C4" w14:textId="61BB2E62" w:rsidR="00C349D2" w:rsidRDefault="00C349D2">
      <w:pPr>
        <w:rPr>
          <w:rFonts w:ascii="Arial" w:hAnsi="Arial" w:cs="Arial"/>
          <w:sz w:val="20"/>
          <w:szCs w:val="20"/>
          <w:lang w:val="it-IT"/>
        </w:rPr>
      </w:pPr>
    </w:p>
    <w:p w14:paraId="78181F66" w14:textId="77777777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t xml:space="preserve">ATTESTAZIONE DI CONFORMITÀ DEL BILANCIO SOCIALE ALLE LINEE GUIDA DI CUI AL DM 4 LUGLIO 2019 </w:t>
      </w:r>
    </w:p>
    <w:p w14:paraId="64EF571E" w14:textId="23DFD595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t xml:space="preserve">Ai sensi di quanto disposto dall’art. 30, comma 7, del D. Lgs. 117/2017, </w:t>
      </w:r>
      <w:r w:rsidRPr="00C349D2">
        <w:rPr>
          <w:highlight w:val="green"/>
          <w:lang w:val="it-IT"/>
        </w:rPr>
        <w:t>ho</w:t>
      </w:r>
      <w:r w:rsidRPr="00C349D2">
        <w:rPr>
          <w:highlight w:val="green"/>
        </w:rPr>
        <w:t xml:space="preserve"> provveduto ad esaminare il bilancio sociale al 31/12/2020 al fine di verificarne la conformità rispetto alle linee guida di cui al Decreto del Ministero del Lavoro e delle Politiche sociali del 4 luglio 2019.</w:t>
      </w:r>
    </w:p>
    <w:p w14:paraId="3C970931" w14:textId="77777777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t xml:space="preserve">Sulla base dei controlli espletati e degli accertamenti eseguiti, </w:t>
      </w:r>
      <w:r w:rsidRPr="00C349D2">
        <w:rPr>
          <w:highlight w:val="green"/>
          <w:lang w:val="it-IT"/>
        </w:rPr>
        <w:t>posso</w:t>
      </w:r>
      <w:r w:rsidRPr="00C349D2">
        <w:rPr>
          <w:highlight w:val="green"/>
        </w:rPr>
        <w:t xml:space="preserve"> affermare che: </w:t>
      </w:r>
    </w:p>
    <w:p w14:paraId="1A495FA5" w14:textId="77777777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t xml:space="preserve">- il bilancio sociale </w:t>
      </w:r>
      <w:r w:rsidRPr="00C349D2">
        <w:rPr>
          <w:highlight w:val="green"/>
          <w:lang w:val="it-IT"/>
        </w:rPr>
        <w:t>dell’Associazione COE</w:t>
      </w:r>
      <w:r w:rsidRPr="00C349D2">
        <w:rPr>
          <w:highlight w:val="green"/>
        </w:rPr>
        <w:t xml:space="preserve"> 202</w:t>
      </w:r>
      <w:r w:rsidRPr="00C349D2">
        <w:rPr>
          <w:highlight w:val="green"/>
          <w:lang w:val="it-IT"/>
        </w:rPr>
        <w:t xml:space="preserve">1 </w:t>
      </w:r>
      <w:r w:rsidRPr="00C349D2">
        <w:rPr>
          <w:highlight w:val="green"/>
        </w:rPr>
        <w:t>è conforme alle linee guida di cui al Decreto del Ministero del lavoro e delle politiche sociali del 4 luglio 2019;</w:t>
      </w:r>
    </w:p>
    <w:p w14:paraId="277D6CA4" w14:textId="0E05E35B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t xml:space="preserve"> - la redazione del bilancio sociale è stata effettuata secondo criteri e principi che ne consentono la valutazione dell’attendibilità; </w:t>
      </w:r>
    </w:p>
    <w:p w14:paraId="32B1EFB6" w14:textId="77777777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t xml:space="preserve">- i dati e le informazioni contenute sono coerenti con la documentazione esibita e i controlli svolti; </w:t>
      </w:r>
    </w:p>
    <w:p w14:paraId="5D1189A6" w14:textId="3226AFCB" w:rsidR="00C349D2" w:rsidRPr="00C349D2" w:rsidRDefault="00C349D2">
      <w:pPr>
        <w:rPr>
          <w:highlight w:val="green"/>
        </w:rPr>
      </w:pPr>
      <w:r w:rsidRPr="00C349D2">
        <w:rPr>
          <w:highlight w:val="green"/>
        </w:rPr>
        <w:lastRenderedPageBreak/>
        <w:t xml:space="preserve">- nel complesso, i dati e le informazioni consentono, ragionevolmente, una corretta rappresentazione e visibilità della </w:t>
      </w:r>
      <w:r w:rsidRPr="00C349D2">
        <w:rPr>
          <w:highlight w:val="green"/>
          <w:lang w:val="it-IT"/>
        </w:rPr>
        <w:t>Associazione COE</w:t>
      </w:r>
      <w:r w:rsidRPr="00C349D2">
        <w:rPr>
          <w:highlight w:val="green"/>
        </w:rPr>
        <w:t>.</w:t>
      </w:r>
    </w:p>
    <w:p w14:paraId="1132D4E1" w14:textId="661D7A90" w:rsidR="00C349D2" w:rsidRPr="00C349D2" w:rsidRDefault="00C349D2">
      <w:pPr>
        <w:rPr>
          <w:highlight w:val="green"/>
        </w:rPr>
      </w:pPr>
    </w:p>
    <w:p w14:paraId="13F3DF10" w14:textId="007DC196" w:rsidR="00C349D2" w:rsidRPr="00C349D2" w:rsidRDefault="00C349D2">
      <w:pPr>
        <w:rPr>
          <w:highlight w:val="green"/>
          <w:lang w:val="it-IT"/>
        </w:rPr>
      </w:pPr>
      <w:r w:rsidRPr="00C349D2">
        <w:rPr>
          <w:highlight w:val="green"/>
          <w:lang w:val="it-IT"/>
        </w:rPr>
        <w:t>Lecco, 20/05/2022</w:t>
      </w:r>
    </w:p>
    <w:p w14:paraId="737859A7" w14:textId="65620260" w:rsidR="00C349D2" w:rsidRPr="00C349D2" w:rsidRDefault="00C349D2">
      <w:pPr>
        <w:rPr>
          <w:lang w:val="it-IT"/>
        </w:rPr>
      </w:pPr>
      <w:r w:rsidRPr="00C349D2">
        <w:rPr>
          <w:highlight w:val="green"/>
          <w:lang w:val="it-IT"/>
        </w:rPr>
        <w:t>Dott. Angelo Corti</w:t>
      </w:r>
    </w:p>
    <w:sectPr w:rsidR="00C349D2" w:rsidRPr="00C349D2" w:rsidSect="00533233">
      <w:pgSz w:w="11900" w:h="16840"/>
      <w:pgMar w:top="1440" w:right="1080" w:bottom="1440" w:left="10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9F"/>
    <w:multiLevelType w:val="singleLevel"/>
    <w:tmpl w:val="0C0C94D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523466DB"/>
    <w:multiLevelType w:val="singleLevel"/>
    <w:tmpl w:val="4596FC1A"/>
    <w:lvl w:ilvl="0">
      <w:start w:val="1"/>
      <w:numFmt w:val="bullet"/>
      <w:lvlText w:val=""/>
      <w:lvlJc w:val="left"/>
      <w:pPr>
        <w:tabs>
          <w:tab w:val="num" w:pos="566"/>
        </w:tabs>
        <w:ind w:left="566" w:hanging="566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 w16cid:durableId="1769618225">
    <w:abstractNumId w:val="1"/>
  </w:num>
  <w:num w:numId="2" w16cid:durableId="41971442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83"/>
          </w:tabs>
          <w:ind w:left="283" w:hanging="283"/>
        </w:pPr>
        <w:rPr>
          <w:rFonts w:ascii="Arial" w:eastAsia="Arial" w:hAnsi="Arial" w:cs="Arial" w:hint="default"/>
          <w:b/>
          <w:i w:val="0"/>
          <w:strike w:val="0"/>
          <w:color w:val="auto"/>
          <w:position w:val="0"/>
          <w:sz w:val="22"/>
          <w:u w:val="none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33"/>
    <w:rsid w:val="00121618"/>
    <w:rsid w:val="001F738A"/>
    <w:rsid w:val="00224221"/>
    <w:rsid w:val="00533233"/>
    <w:rsid w:val="00734423"/>
    <w:rsid w:val="0091562B"/>
    <w:rsid w:val="00B26BA6"/>
    <w:rsid w:val="00BC34AC"/>
    <w:rsid w:val="00C349D2"/>
    <w:rsid w:val="00C5529B"/>
    <w:rsid w:val="00E70A00"/>
    <w:rsid w:val="00FB1046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3666"/>
  <w15:chartTrackingRefBased/>
  <w15:docId w15:val="{7460A1A8-1059-4515-B44A-D29E90BA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233"/>
    <w:rPr>
      <w:rFonts w:ascii="Calibri" w:eastAsia="Calibri" w:hAnsi="Calibri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332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Corti</dc:creator>
  <cp:keywords/>
  <dc:description/>
  <cp:lastModifiedBy>Paolo Caporali</cp:lastModifiedBy>
  <cp:revision>2</cp:revision>
  <cp:lastPrinted>2022-05-20T08:45:00Z</cp:lastPrinted>
  <dcterms:created xsi:type="dcterms:W3CDTF">2022-05-21T05:14:00Z</dcterms:created>
  <dcterms:modified xsi:type="dcterms:W3CDTF">2022-05-21T05:14:00Z</dcterms:modified>
</cp:coreProperties>
</file>